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CB6" w:rsidRPr="00AA4CB6" w:rsidRDefault="00AA4CB6" w:rsidP="00AA4CB6">
      <w:pPr>
        <w:shd w:val="clear" w:color="auto" w:fill="FFFFFF" w:themeFill="background1"/>
        <w:spacing w:line="240" w:lineRule="auto"/>
        <w:jc w:val="both"/>
        <w:rPr>
          <w:rFonts w:ascii="Times New Roman" w:hAnsi="Times New Roman" w:cs="Times New Roman"/>
          <w:b/>
          <w:sz w:val="24"/>
          <w:szCs w:val="24"/>
        </w:rPr>
      </w:pPr>
      <w:bookmarkStart w:id="0" w:name="_GoBack"/>
      <w:bookmarkEnd w:id="0"/>
      <w:r w:rsidRPr="00AA4CB6">
        <w:rPr>
          <w:rFonts w:ascii="Times New Roman" w:hAnsi="Times New Roman" w:cs="Times New Roman"/>
          <w:b/>
          <w:sz w:val="24"/>
          <w:szCs w:val="24"/>
        </w:rPr>
        <w:t>Cita: ROL:8115-08, MJJ24291</w:t>
      </w:r>
    </w:p>
    <w:p w:rsidR="00AA4CB6" w:rsidRPr="00AA4CB6" w:rsidRDefault="00AA4CB6" w:rsidP="00AA4CB6">
      <w:pPr>
        <w:shd w:val="clear" w:color="auto" w:fill="FFFFFF" w:themeFill="background1"/>
        <w:spacing w:line="240" w:lineRule="auto"/>
        <w:jc w:val="both"/>
        <w:rPr>
          <w:rFonts w:ascii="Times New Roman" w:hAnsi="Times New Roman" w:cs="Times New Roman"/>
          <w:b/>
          <w:sz w:val="24"/>
          <w:szCs w:val="24"/>
        </w:rPr>
      </w:pPr>
      <w:r w:rsidRPr="00AA4CB6">
        <w:rPr>
          <w:rFonts w:ascii="Times New Roman" w:hAnsi="Times New Roman" w:cs="Times New Roman"/>
          <w:b/>
          <w:sz w:val="24"/>
          <w:szCs w:val="24"/>
        </w:rPr>
        <w:t>Producto: Microjuris</w:t>
      </w:r>
    </w:p>
    <w:p w:rsidR="00AA4CB6" w:rsidRDefault="00AA4CB6" w:rsidP="00AA4CB6">
      <w:pPr>
        <w:shd w:val="clear" w:color="auto" w:fill="FFFFFF" w:themeFill="background1"/>
        <w:spacing w:line="240" w:lineRule="auto"/>
        <w:jc w:val="both"/>
        <w:rPr>
          <w:rFonts w:ascii="Times New Roman" w:hAnsi="Times New Roman" w:cs="Times New Roman"/>
          <w:sz w:val="24"/>
          <w:szCs w:val="24"/>
        </w:rPr>
      </w:pP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Santiago, 8 de julio de 2010.-</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VISTO</w:t>
      </w:r>
      <w:r>
        <w:rPr>
          <w:rFonts w:ascii="Times New Roman" w:hAnsi="Times New Roman" w:cs="Times New Roman"/>
          <w:sz w:val="24"/>
          <w:szCs w:val="24"/>
        </w:rPr>
        <w:t>S</w:t>
      </w:r>
      <w:r w:rsidRPr="00AA4CB6">
        <w:rPr>
          <w:rFonts w:ascii="Times New Roman" w:hAnsi="Times New Roman" w:cs="Times New Roman"/>
          <w:sz w:val="24"/>
          <w:szCs w:val="24"/>
        </w:rPr>
        <w:t xml:space="preserve">: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En causa arbitral "A.G.F. Allianz Chile Compañía de Seguros Generales S.A. con Le Torneau Inc.", don Emilio Sahurie Luer en representación de A.G.F Allianz Chile Compañía de Seguros Generales S.A., dedujo demanda de rebaja de precio y de indemnización de perjuicios por responsabilidad contractual, de conformidad a lo previsto en el artículo 1867   del Código Civil, en contra de Le Tourneau Inc., representada por don Fernando Sáenz de Santa María Moscatto.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Funda su acción señalando que la Compañía Minera Lomas Bayas S.A., dedicada a la explotación de una mina de cobre, situada a ochenta kilómetros de la ciudad de Antofagasta, le compró a Le Tourneau Inc., por intermedio de su representante en Chile, Comercial Otero S.A., el cargador frontal "Le Tourneau L-1400", para ser destinado a su negocio minero.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Agrega que el equipo indicado y otros bienes, se encontraban asegurados por la actora, al amparo de la póliza Nº 001000051968, respecto de todo riesgo de bienes físicos o perjuicios por paralización.</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Expresa que el día 5 de agosto de 1999, alrededor de las 12:00 horas, mientras el cargador frontal, realizaba sus labores habituales, durante una maniobra de retroceso, el operador de la máquina, don Juan Saavedra, detectó por el espejo retrovisor llamas provenientes del compartimiento del motor diesel ubicado en la parte trasera del cargador, por lo que procedió a frenarlo y activó el sistema manual de extinción de incendios de CO2, no obstante lo cual, las llamas continuaron creciendo, por lo que ya estando próximas a alcanzar la cabina, el operador debió descender del vehículo. Añade que personal de Lomas Bayas acudió al lugar y que luego del empleo de un camión aljibe y de más de tres horas de trabajo, se pudo sofocar el fuego, resultando el cargador íntegramente destruido. Expone la actora que producido el siniestro, se dirigió a los liquidadores oficiales de seguros, para el ajuste de las pérdidas y durante el proceso de liquidación se requirió la opinión experta de B &amp; B Servicios Limitada, para establecer las causas del incendio.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Posteriormente, continúa la demandante, se solicitaron ante el Cuarto Juzgado de Letras de Antofagasta, medidas prejudiciales probatorias consistentes en el testificado de un ministro de fe y en un informe de peritos, designándose para la elaboración de este último al ingeniero mecánico don Fernando Herrera Cruzat.</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Manifiesta que, de esta forma, se pudo establecer que la causa directa del siniestro fue la fisura de la manguera de acoplamiento de lubricación del turbo derecho, conducto que era de goma, material inadecuado para el funcionamiento del equipo, expuesto a altas temperaturas y carente de resistencia mecá</w:t>
      </w:r>
      <w:r>
        <w:rPr>
          <w:rFonts w:ascii="Times New Roman" w:hAnsi="Times New Roman" w:cs="Times New Roman"/>
          <w:sz w:val="24"/>
          <w:szCs w:val="24"/>
        </w:rPr>
        <w:t>n</w:t>
      </w:r>
      <w:r w:rsidRPr="00AA4CB6">
        <w:rPr>
          <w:rFonts w:ascii="Times New Roman" w:hAnsi="Times New Roman" w:cs="Times New Roman"/>
          <w:sz w:val="24"/>
          <w:szCs w:val="24"/>
        </w:rPr>
        <w:t>ica.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Refiere que la situación de emergencia no fue oportunamente detectada por el sistema de seguridad del equipo, de modo que el motor no se detuvo automáticamente, por lo que al continuar operando, dicha dinámica permitió que el aceite continuase fugándose por la manguera, alimentando incesantemente el </w:t>
      </w:r>
      <w:r w:rsidRPr="00AA4CB6">
        <w:rPr>
          <w:rFonts w:ascii="Times New Roman" w:hAnsi="Times New Roman" w:cs="Times New Roman"/>
          <w:sz w:val="24"/>
          <w:szCs w:val="24"/>
        </w:rPr>
        <w:lastRenderedPageBreak/>
        <w:t>incendio con material inflamable, siendo el sistema de extinción de incendio incapaz de detener el fuego.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Concluye que el incendio es atribuible a los siguientes hechos: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 La manguera se fisuró internamente, esparciendo aceite a alta temperatura el que se transformó en una mezcla comburente, lo que produjo su ignición y posterior incendio;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b.- La manguera estaba fabricada de material no metálico, por lo que existe un error de diseño y/o fabricación del cargador;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c.- El sistema de seguridad no funcionó adecuadamente, ya que no detectó la pérdida de aceite;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d.- A pesar de haber sido activado el sistema de extinción de incendios por el operador, el motor continuó funcionando, permitiendo que el aceite continuase escurriendo, alimentando el incendio;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 El sistema de extinción de incendio fue insuficiente. Sostiene la actora que los hechos expuestos configuran un incumplimiento contractual, ya que de acuerdo con lo dispuesto por el artículo 1828  del Código Civil, el vendedor está obligado a entregar lo que reza el contrato y que, en este caso, el cargador tenía vicios o defectos que importan haber recibido una cosa diversa de la debida. Añade que esos vicios ocultos de la maquina hicieron en definitiva que la cosa vendida no sirviera para su uso natural o sirviera solo imperfectamente.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Continúa expresando la demandante, que de acuerdo al artículo 1824   del Código Civil, es obligación del vendedor el saneamiento de la cosa vendida, el que comprende la responsabilidad por los defectos ocultos o vicios redhibitorios que afectan a la cosa, argumentando que, en este caso, respecto del cargador frontal, ellos habrían consistido en la utilización de una manguera que no era la adecuada para este tipo de maquinaria y en la insuficiencia e inoperancia de los sistemas de seguridad que no sirvieron para su uso natural, vicios todos que existían al tiempo de la venta.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Apoyándose en lo dispuesto en el artículo 1861   del Código Civil, sostiene que no es posible dudar que un fabricante de maquinaria especializada no tenga conocimiento o, al menos, no deba tenerlo acerca de las piezas del equipo que son necesarias para su correcto funcionamiento, por lo que afirma, tiene derecho a pedir la restitución o rebaja del precio y la indemnización de perjuicios, conforme a la disposición citada, pero que habiendo transcurrido el plazo de prescripción del artículo 1866   del referido cuerpo legal, le asiste aún el derecho contemplado en el artículo 1867 del mismo estatuto normativo de demandar al vendedor para pedir la restitución o rebaja del precio y la indemnización de perjuicios. En cuanto al daño emergente, expresa que en el Informe de Liquidación de Graham Miller se establece la pérdida total del cargador, cuyo valor asciende a U.S.$ 2.860.394, suma a la que debe restarse el deducible por la cantidad de U.S.$ 162.061, por lo que la pérdida experimentada por el asegurador asciende a U.S.$ 2.698.333.</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En cuanto al lucro cesante, expresa que la imposibilidad del uso del cargador significó para "Lomas Bayas" pérdidas de producción de 107.731 TM de mineral, las que restado el deducible, determinaron a la demandante indemnizar a la empresa asegurada la cantidad de U.S. $ 170.249,06. Añade que, además, la empresa Lomas Bayas debió incurrir en gastos extraordinarios, ya que tuvo que reemplazar el cargador siniestrado por uno arrendado, por un costo total de U.S. $ 298.479, por lo que de acuerdo a lo expresado precedentemente, el total de la pérdida indemnizada ascendió a U.S. $ 3.043.252,10.</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 xml:space="preserve"> Agrega la parte demandante, que en su calidad de asegurador de Lomas Bayas debió asumir el costo del siniestro y que de acuerdo con lo previsto en el artículo 553   de Código de Comercio se ha subrogado en los derechos y acciones de la asegurada, por lo que pide tener por interpuesta demanda, declarando el incumplimiento del contrato de compraventa.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 fin de aclarar las demandas que pudieran estimarse oscuras, reformula las peticiones concretas que se someten a la decisión del tribunal y, en definitiva, solicita al tribunal se declare: a.- Que el demandado ha incumplido sus obligaciones contractuales como vendedor del cargador que adolecía devicios; b.- Que el demandado conocía o debía conocer, en razón de su profesión u oficio, los vicios que afectaban al referido cargador; c.- Que en consecuencia, deben acogerse las acciones de rebaja del precio e indemnización de perjuicios y declararse que el demandado, debe pagar por rebaja de precio e indemnización de perjuicios U.S. $ 3.043.252,10 o la suma que el tribunal determine; d.- Para el caso de que se concluya que el demandado no conocía ni debía conocer los vicios, se declare que se acoge solamente la acción de rebaja del precio y se disponga que el precio debe ser reducido en su totalidad o bien fijar dicha depreciación en un 80% del precio o en la proporción que el tribunal estime procedente; e.- Que las sumas ordenadas pagar se reajusten desde la fecha del siniestro o del pago por el demandante o de la que fije el tribunal, como así también se condene a la demandada al pago de intereses y costas.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Contestando la demanda, la demandada solicitó su rechazo, con costas, argumentando al efecto la falta de legitimación pasiva; que las acciones interpuestas se encontrarían prescritas y, finalmente, que debería probarse también la existencia del seguro y la falla de la manguera y de los sistemas de seguridad, situaciones que controvierte de manera inicial.</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Fundamentando la excepción de prescripción, expresa que la contraria ha deducido una demanda de rebaja del precio o quanti minoris y de indemnización de perjuicios, de conformidad a lo previsto en el artículo 1861 del Código Civil.</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Señala que según prevé el artículo 1869   del referido cuerpo legal, estas acciones prescriben en un año para los bienes muebles, como es el caso del cargador frontal siniestrado y en dieciocho meses para los bienes raíces, plazos que en todo caso se cuentan desde la entrega material del bien, la que en la especie tuvo lugar en el año 1997, por lo que la prescripción operó con más de tres años de anterioridad a la notificación de la demanda. Para el caso de no acogerse la excepción de prescripción, la demandada opone como excepción, la inexistencia de un contrato de compraventa que vincule a la demandante con Le Tourneau Inc, ya que el vendedor habría sido en el caso sub lite la Sociedad Comercial Otero S.A.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Finalmente, la parte demandada señala que deberá probarse por la demandante la existencia del seguro a cuyo respecto habría operado a favor de dicha parte la subrogación legal, como así también la existencia de la falla de la manguera de lubricación del turbo derecho, sindicado como causante del incendio del cargador, al igual que las fallas de los sistema s de seguridad reclamadas, no siendo, para estos efectos, legalmente aceptable la prueba de testigos.</w:t>
      </w:r>
    </w:p>
    <w:p w:rsid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 continuación, sostiene que el incendio del cargador se habría iniciado por una fuga de aceite del motor, acumulado en la parte superior del mismo, debido a la falta de un correcto mantenimiento del equipo, que presentaba elementos inflamables que hicieron combustión, por lo que el siniestro se habría derivado de una exposición imprudente a ese riesgo, lo que elimina todo vínculo causal entre la actividad de la demandada y el incendio en sí.</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Agrega la demandada que el motor del cargador frontal fue diseñado y fabricado íntegramente por la empresa Cummins Internacional, la que suministró todos sus componentes, añadiendo que funcionó sin problemas por más de dos años.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Argumenta, asimismo, que sin perjuicio de todo lo señalado precedentemente, es menester considerar que el usuario del cargador, tres horas antes del incendio, habría procedido a cambiar la manguera referida por un repuesto no original, que no fue proporcionado por la demandada, circunstancia que constaría en el informe pericial de don Fernando Antonio Herrera Cruzat, añadiendo que la manguera no habría sido correctamente instalada. Añade, además, que el operador del equipo no obstante haber recibido capacitación por parte del vendedor Comercial Otero S.A., una vez producido el incendio no habría apagado el motor de la maquina, ni activado el sistema de supresión de incendio, omitiendo también oprimir los botones de detención.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La demandada niega que el incendio tuviera relación con el material de fabricación de la manguera que se sindica como responsable del siniestro y asegura que Lomas Bayas actuó negligentemente al operar el cargador frontal en condiciones más exigentes que las especificadas por el fabricante y al mantener el equipo impregnado con residuos inflamables, añadiendo que todos los sistemas de seguridad habrían operado, a su juicio, en forma perfecta.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Por sentencia de veintiséis de noviembre de dos mil tres, escrita a fojas 2.748, el juez árbitro de primer grado, don Samuel Lira Ovalle, rechazó la demanda, por encontrarse prescritas las acciones entabladas y dispuso que cada parte debía satisfacer el pago de sus propias costas.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Apelado este fallo por la demandante, una de las Salas de la Corte de Apelaciones de Santiago, por sentencia de cinco de septiembre de dos mil ocho, que se lee a fojas 2.870, lo confirmó.</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En contra de esta última decisión la aludida parte ha deducido recurso de casación en el fondo.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Se ordenó traer los autos en relación.</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CONSIDERANDO: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PRIMERO: Que la actora, en su demanda de fojas 16, aclarada en cuanto a sus peticiones a fojas 53, solicitó, entre otras cuestiones, que se declarara: 1.- que el demandado incumplió sus obligaciones contractuales como vendedor del cargador que adolecía de vicios; 2.- que el demandado conocía o debía conocer, en razón de su profesión u oficio, los vicios que afectaban al referido cargador; 3.- que en consecuencia, deben acogerse las acciones de rebaja del precio e indemnización de perjuicios y declararse que el demandado, debe pagar por rebaja de precio e indemnización de perjuicios U.S. $ 3.043.252,10 o la suma que el tribunal determine; 4.- que para el caso de que se concluya que el demandado no conocía ni debía conocer los vicios de la cosa vendida, se declare que se acoge solamente la acción de rebaja del precio y se disponga que el precio debe ser reducido en su totalidad o bien fijar dicha depreciación en un 80% del precio o en la proporción que el tribunal estime procedente; y 5.- que las sumas ordenadas pagar se reajusten desde la fecha del siniestro o del pago por el demandante o de la que fije el tribunal, como así, también, se condene a la demandada al pago de intereses y costas.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La demandada, por su parte, contestando la demanda controvirtió todos los presupuestos en que la demandante fundó su acción, haciendo presente que no le constaba el vínculo contractual que habría existido entre Le Torneau Inc. y la asegurada Compañía Minera Lomas Bayas S.A.; las fallas reclamadas por la actora respecto de la manguera de acoplamiento de lubricación del turbo derecho y de </w:t>
      </w:r>
      <w:r w:rsidRPr="00AA4CB6">
        <w:rPr>
          <w:rFonts w:ascii="Times New Roman" w:hAnsi="Times New Roman" w:cs="Times New Roman"/>
          <w:sz w:val="24"/>
          <w:szCs w:val="24"/>
        </w:rPr>
        <w:lastRenderedPageBreak/>
        <w:t xml:space="preserve">los sistemas de seguridad; ni la pretendida subrogación legal de la actora respecto de la empresa Lomas Bayas S.A. A continuación de dichas alegaciones, efectuó argumentaciones con el objeto de establecer la prescripción de las acciones entabladas, de conformidad a lo previsto en el artículo 1869 del Código Civil;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SEGUNDO: Que con el objeto de acreditar sus pretensiones, ambas partes allegaron a los autos extensa prueba documental, testimonial y pericial, solicitando exhibición de documentos y la remisión de oficios e informes, antecedentes todos, que fueron acompañada al proceso en forma legal. En su oportunidad y según c</w:t>
      </w:r>
      <w:r>
        <w:rPr>
          <w:rFonts w:ascii="Times New Roman" w:hAnsi="Times New Roman" w:cs="Times New Roman"/>
          <w:sz w:val="24"/>
          <w:szCs w:val="24"/>
        </w:rPr>
        <w:t>o</w:t>
      </w:r>
      <w:r w:rsidRPr="00AA4CB6">
        <w:rPr>
          <w:rFonts w:ascii="Times New Roman" w:hAnsi="Times New Roman" w:cs="Times New Roman"/>
          <w:sz w:val="24"/>
          <w:szCs w:val="24"/>
        </w:rPr>
        <w:t>nsta a fojas 1.134, se practicó también por el Tribunal una inspección personal;</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TERCERO: Que del mérito de la sentencia recurrida, que reprodujo y confirmó el fallo del tribunal a quo, acogiendo, en definitiva, la excepción de prescripción de la acción, puede advertirse que no se efectuó un cabal razonamiento respecto de la prueba incorporada a la causa por ambas partes, en el caso de la demandante para acreditar los presupuestos básicos de su acción y, de la demandada, para desvirtuarlos, supuestos que, a juicio de esta Corte, debieron ser esclarecidos a priori con el objeto de analiza r con posterioridad la pertinencia de la excepción que resultó concluyentemente admitida, ni se verificó, en consecuencia, un cabal razonamiento respecto del asunto sometido al conocimiento y resolución de los tribunales del mérito, omitiéndose de este modo las consideraciones de hecho y de derecho que debían servirle de sustento, desentendiéndose así los juzgadores de la obligación de efectuar una reflexión que permitiera constatar la apreciación de cada uno de los medios probatorios, al prescindirse del análisis que de ellos deben efectuar los jueces para establecer cada uno de los elementos que consagra el legislador para regular su fuerza probatoria, y del deber de realizar una reflexión que permitiera el establecimiento de los hechos sobre los cuales debían de decidir la controversia, cuestión pre</w:t>
      </w:r>
      <w:r>
        <w:rPr>
          <w:rFonts w:ascii="Times New Roman" w:hAnsi="Times New Roman" w:cs="Times New Roman"/>
          <w:sz w:val="24"/>
          <w:szCs w:val="24"/>
        </w:rPr>
        <w:t>v</w:t>
      </w:r>
      <w:r w:rsidRPr="00AA4CB6">
        <w:rPr>
          <w:rFonts w:ascii="Times New Roman" w:hAnsi="Times New Roman" w:cs="Times New Roman"/>
          <w:sz w:val="24"/>
          <w:szCs w:val="24"/>
        </w:rPr>
        <w:t xml:space="preserve">ia al razonamiento relativo a la aplicación de la pertinente normativa legal y a la decisión misma;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CUARTO: Que el Código de Procedimie</w:t>
      </w:r>
      <w:r>
        <w:rPr>
          <w:rFonts w:ascii="Times New Roman" w:hAnsi="Times New Roman" w:cs="Times New Roman"/>
          <w:sz w:val="24"/>
          <w:szCs w:val="24"/>
        </w:rPr>
        <w:t>nto Civil, en los artículos 158</w:t>
      </w:r>
      <w:r w:rsidRPr="00AA4CB6">
        <w:rPr>
          <w:rFonts w:ascii="Times New Roman" w:hAnsi="Times New Roman" w:cs="Times New Roman"/>
          <w:sz w:val="24"/>
          <w:szCs w:val="24"/>
        </w:rPr>
        <w:t>, 169  , 170   y 171   reguló las formas de las sentencias.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El artículo 5° transitorio   de la Ley Nº 3.390, de 15 de julio de 1918, dispuso: "La Corte Suprema establecerá, por medio de un auto acordado, la forma en que deben ser redactadas las sentencias definitivas para dar cumplimiento a lo dispuesto en los artículos 170 y 785   del Código de Procedimiento Civil", ante lo cual éste Tribunal procedió a dictar el Auto Acordado sobre la forma de las sentencias, de fecha 30 de septiembre de 1920, expresando que las definitivas de primera o de única instancia y las que revoquen o modifiquen las de otros tribunales, contendrán: " 5° Las consideraciones de hecho que sirvan de fundamento al fallo. Se establecerán con precisión los hechos sobre que versa la cuestión que deba fallarse, con distinción de los que hayan sido aceptados o reconocidos por las partes y de aquellos respecto de los cuales haya versado la discusión; 6° En seguida, si no hubiere discusión acerca de la procedencia legal de la prueba, los hechos que se encuentren justificados con arreglo a la ley y los fundamentos que sirvan para estimarlos comprobados, haciéndose, en caso necesario, la apreciación correspondiente de la prueba de autos conforme a las reglas legales; 7° Si se suscitare cuestión acerca de la procedencia de la prueba producida, la exposición de los fundamentos que deben servir para aceptarla o rechazarla, sin perjuicio del establecimiento de los hechos en la forma expuesta en los párrafos precedentes para los fines consiguientes; 8° Establecidos los hechos, las consideraciones de derecho aplicables al caso; 9° La enunciación de las leyes o en su defecto de los principios de equidad con arreglo a los cuales se pronuncia el fallo; 10° Tanto respecto de las consideraciones de hecho como las de derecho, el tribunal observará al consignarlas el orden lógico que el encadenamiento de las proposiciones requiera, y, al efecto, se observará, en cuanto pueda ser aplicable a tribunales </w:t>
      </w:r>
      <w:r w:rsidRPr="00AA4CB6">
        <w:rPr>
          <w:rFonts w:ascii="Times New Roman" w:hAnsi="Times New Roman" w:cs="Times New Roman"/>
          <w:sz w:val="24"/>
          <w:szCs w:val="24"/>
        </w:rPr>
        <w:lastRenderedPageBreak/>
        <w:t xml:space="preserve">unipersonales, lo dispuesto en el artículo 186   del Código de Procedimiento Civil". (Actual artículo 83   del Código Orgánico de Tribunales).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En diferentes ocasiones esta Corte Suprema ha resaltado la importancia de cumplir con tales disposiciones, por la claridad, congruencia, armonía y lógica en los razonamientos que deben observar los fallos, entre las que destaca la sentencia publicada en la Revista de Derecho y Jurisprudencia Tomo XXV, Sección 1°, Pág., 156, año 1928.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En este contexto surge toda la distinción racional sobre lo que efectivamente constituye el fundamento del fallo por parte de los jueces, distinguiendo lo que son las motivaciones, fundamentaciones, justificaciones y argumentaciones, resolviéndose por la jurisprudencia comparada que hay ausencia de fundamento tanto cuando éste se encuentra ausente, como cuando la ausencia es parcial o son insuficientes los expresados, al igual que al existir incoherencia interna, arbitrariedad e irrazonabilidad.</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Se han detenido los tribunales y la doctrina en el estudio de este requisito de las sentencias, por razones procesales y extraprocesales. Está presente, principalmente, la posibilidad de las partes de recurrir y con ello dar aplicación al "justo y racional procedimiento" que exige la Constitución Política, que en mayor medida se debe alcanzar en la sentencia, por ser la ocasión en que el Estado, por medio del órgano jurisdiccional, responde al derecho de petición y especialmente a la acción interpuesta en el proceso, todo lo cual, sin duda, debe tener en consideración el tribunal superior al revisar eventualmente la decisión. Tan importante como lo anterior es la legitimación con la sociedad y el escrutinio que puede hacer cualquier ciudadano de lo expuesto por el juez, esta es una de las formas como el Poder Judicial se legitima día a día en sus decisiones, se llega a la aplicación de los principios de transparencia y publicidad, pilares fundamentales de un Estado de Derecho.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La jurisprudencia comparada, al exigir la motivación de los fallos, conforme a la tutela judicial efectiva ha resumido su finalidad, en que: "1° Permite el control de la actividad jurisdiccional por parte de la opinión pública, cumpliendo así con el requisito de publicidad."</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"2° Logra el convencimiento de las partes, eliminando la sensación de arbitrariedad y estableciendo su razonab</w:t>
      </w:r>
      <w:r>
        <w:rPr>
          <w:rFonts w:ascii="Times New Roman" w:hAnsi="Times New Roman" w:cs="Times New Roman"/>
          <w:sz w:val="24"/>
          <w:szCs w:val="24"/>
        </w:rPr>
        <w:t>i</w:t>
      </w:r>
      <w:r w:rsidRPr="00AA4CB6">
        <w:rPr>
          <w:rFonts w:ascii="Times New Roman" w:hAnsi="Times New Roman" w:cs="Times New Roman"/>
          <w:sz w:val="24"/>
          <w:szCs w:val="24"/>
        </w:rPr>
        <w:t>lidad, al conocer el por qué concreto de la resolución."</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"3° Permite la efectividad de los recursos."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"4° Pone de manifiesto la vinculación del Juez a la Ley". (Sentencia del Tribunal Constitucional español, de 5 de febrero de 1987);</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QUINTO: Que es así, como del contexto de justificación que antecede, queda claramente demostrada la falta absoluta a las disposiciones y principios referidos en que incurrieron los jueces de la instancia, al prescindir de la cabal ponderación de la prueba rendida en autos y del análisis y definición en la determinación de los hechos sobre los cuales debieron resolver la litis.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Las omisiones advertidas constituyen el vicio de casación en la forma previsto en el artículo 768 Nº 5, en relación con el artículo 170 Nº 4, ambos del Código de Procedimiento Civil, por la falta de consideraciones de hecho y derecho que debieron servir de fundamento al fallo;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SEPTIMO: Que el artículo 775   del Código de Procedimiento Civil dispone que los tribunales, conociendo, entre otros recursos, por la vía de la casación, pueden invalidar de oficio las sentencias, cuando los antecedentes manifiesten que ellas adolecen de vicios que dan lugar a la casación en la </w:t>
      </w:r>
      <w:r w:rsidRPr="00AA4CB6">
        <w:rPr>
          <w:rFonts w:ascii="Times New Roman" w:hAnsi="Times New Roman" w:cs="Times New Roman"/>
          <w:sz w:val="24"/>
          <w:szCs w:val="24"/>
        </w:rPr>
        <w:lastRenderedPageBreak/>
        <w:t>forma, oyendo a los abogados que concurran a alegar, exigencia que no pudo ser satisfecha en el caso en par</w:t>
      </w:r>
      <w:r>
        <w:rPr>
          <w:rFonts w:ascii="Times New Roman" w:hAnsi="Times New Roman" w:cs="Times New Roman"/>
          <w:sz w:val="24"/>
          <w:szCs w:val="24"/>
        </w:rPr>
        <w:t>t</w:t>
      </w:r>
      <w:r w:rsidRPr="00AA4CB6">
        <w:rPr>
          <w:rFonts w:ascii="Times New Roman" w:hAnsi="Times New Roman" w:cs="Times New Roman"/>
          <w:sz w:val="24"/>
          <w:szCs w:val="24"/>
        </w:rPr>
        <w:t>icular, por haberse advertido dicha situación con posterioridad a la vista de la causa;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OCTAVO: 0 Que por las razones expresadas en las motivaciones anteriores, se procederá a ejercer las facultades que le permiten a esta Corte casar en la forma de oficio. De conformidad a lo expuesto, las normas legales citadas y lo señalado en los artículos 786 y 806   del Código de Procedimiento Civil, se invalida la sentencia dictada por la Corte de Apelaciones de Santiago, de fecha cinco de septiembre de dos mil ocho, escrita a fojas 2.870, la que se reemplaza por la que se dicta a continuación, sin nueva vista de la causa.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Téngase por no interpuesto el recurso de casación en el fondo deducido en lo principal de fojas 2.872, por el abogado don Emilio Sahurie Luer, en representación de la parte demandante.</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Regístrese.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Redacción a cargo del Ministro Sr. Juan Araya Elizalde.</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Rol Nº 8.115-08.-</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Pronunciado por la Primera Sala de la Corte Suprema, por los Ministros Sres. Adalis Oyarzún M., Sergio Muñoz G., Juan Araya E., Guillermo Silva G. y Fiscal Judicial Sra. Mónica Maldonado C.</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No firma la Fiscal Judicial Sra. Maldonado, no obstante haber concurrido a la vista del recurso y acuerdo del fallo, por estar con licencia médica.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Autorizado por la Secretaria Sra. Rosa María Pinto Egusquiza.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En Santiago, a ocho de julio de dos mil diez, notifiqué en Secretaría por el Estado Diario la resolución precedente.</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SENTENCIA DE REEMPLAZO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Santiago, 8 de julio de 2010.-</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De conformidad con lo dispuesto en el artículo 785 del Código de Procedimiento Civil, se dicta el siguiente fallo de reemplazo: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VISTO</w:t>
      </w:r>
      <w:r>
        <w:rPr>
          <w:rFonts w:ascii="Times New Roman" w:hAnsi="Times New Roman" w:cs="Times New Roman"/>
          <w:sz w:val="24"/>
          <w:szCs w:val="24"/>
        </w:rPr>
        <w:t>S</w:t>
      </w:r>
      <w:r w:rsidRPr="00AA4CB6">
        <w:rPr>
          <w:rFonts w:ascii="Times New Roman" w:hAnsi="Times New Roman" w:cs="Times New Roman"/>
          <w:sz w:val="24"/>
          <w:szCs w:val="24"/>
        </w:rPr>
        <w:t xml:space="preserve">: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Se reproduce la sentencia en alzada, previa eliminación de los fundamentos Sexagésimo Primero al Septuagésimo Cuarto.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Y TENIEND</w:t>
      </w:r>
      <w:r>
        <w:rPr>
          <w:rFonts w:ascii="Times New Roman" w:hAnsi="Times New Roman" w:cs="Times New Roman"/>
          <w:sz w:val="24"/>
          <w:szCs w:val="24"/>
        </w:rPr>
        <w:t>O</w:t>
      </w:r>
      <w:r w:rsidRPr="00AA4CB6">
        <w:rPr>
          <w:rFonts w:ascii="Times New Roman" w:hAnsi="Times New Roman" w:cs="Times New Roman"/>
          <w:sz w:val="24"/>
          <w:szCs w:val="24"/>
        </w:rPr>
        <w:t xml:space="preserve"> EN SU LUGAR Y, ADEMÁS, PRESENTE:</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PRIMERO: Que para acreditar los hechos en que sustenta su acción la demandante acompañó a los autos las siguientes probanzas: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-Documental: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TERCERO: Que del mérito de los antecedentes y probanzas detalladas en los motivos anteriores, cuyas objeciones y tachas, respectivamente, ya fueron zanjadas en el fallo que se reproduce, sin que tales decisiones hayan sido objeto de reparo de parte de quien se manifestó agraviado por la sentencia del tribunal a quo, apreciadas conforme a derecho, es posible establecer los siguientes hechos: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 Que Minera Lomas Bayas S.A. adquirió de Le Tourneau Inc, por intermedio de su representante en Chile, Comercial Otero S.A., un cargador frontal Le Tourneau L-1400, para ser destinado a su negocio minero.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b).- Que el 5 de agosto de 1999, en circunstancias que el cargador frontal era maniobrado por personal de Minera Lomas Bayas S.A. en sus labores habituales, se generó un proceso de combustión que derivó, en definitiva, en la perdida total de la referida maquinaria.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c).- Que a la fecha del siniestro, Minera Lomas Bayas S.A. tenía contratada la póliza de seguros Nº 001000051968 con AGF Allianz Chile Compañía de Seguros Generales S.A., la cual cubría el riesgo de aquél, situación por la que, finiquitados los tramites de rigor, dicha aseguradora procedió a efectuar el pago de los perjuicios sufridos a la asegurada;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CUARTO: Que determinado lo anterior resulta indispensable, atendida la naturaleza de la acción deducida, precisar el origen del siniestro sufrido por Minera Lomas Bayas S.A., cuyo daño patrimonial debió ser soportado por la actora en su calidad de aseguradora de aquella. Con la finalidad precedentemente apuntada, resulta particularmente pertinente mencionar que el peritaje mecánico ordenado en carácter de medida prejudicial probatoria por el Cuarto Juzgado Civil de Antofagasta y evacuado por el perito judicial don Fernando Antonio Herrera Cruzat, reflexiona sobre la base a los antecedentes que tuvo a la vista dicho profesional, inspección técnica al sitio del suceso, informe técnico del cargador frontal Le Tourneau de la Compañía Minera Lomas Bayas, daños resultantes a raíz del incendio declarado, versión entregada por el operador de la máquina, comportamiento general de la unidad en la dinámica del proceso de incendio, propagación del fuego, mecánica del siniestro investigado y sistemas de emergencia existentes, concluyendo en base a todo lo anterior que la causa directa del incendio fue: "La presencia de una falla de la manguera de acoplamiento de lubricación del turbo derecho, la que a pesar de la protección que posee (malla metálica, gomas y otros elementos) y lo nuevo de dicho componente, no resistió el trabajo, bajo exigentes condiciones, fisurándose interiormente, lo que produjo una expulsión de aceite pulverizado hacia el exterior a modo de nube atomizada".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Añade: "Lo anterior llevó al esparcimiento descontrolado de aceite, constituyéndose en una mezcla comburente" que al combinarse con el oxigeno existente en la zona".produce la mezcla inflamable ideal para el inicio del fuego", la que al hacer contacto con la carcaza del turbo produjo en definitiva el incendio que destruyó la maquina en su totalidad. Complementa su informe expresando que ""la situación anterior no fue detectada oportunamente por los sistemas de seguridad de este equipo, los cuales no actuaron"" y que en su opinión ""los sistemas de acción contra falla o de seguridad"no fueron los adecuados o suficientes para el caso", agregando que el sistema de extinción de incendios no tiene las características que permitirían otorgarle dicha calidad, ya que ""sólo es un sistema de contención de amagos de incendio".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 xml:space="preserve"> Expresa, asimismo, que ""el sistema de detención por emergencia igualmente no funcionó adecuadamente"."; que "se descarta falla humana en la ejecución de las faenas de mantención""; y que de haber existido una falla puntual en la instalación de la manguera en cuestión ""esta se habría presentado mucho antes del incendio, ya sea saliéndose"o "desgollándose" y no fisurándose".</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Lo concluido precedentemente es corroborado por el Informe Valuación Daños por Siniestro en cargador Frontal Le Tourneau, elaborado por Servicios B &amp; B Limitada, quienes exponen: "De acuerdo a lo encontrado y visualizado en visita a terreno, presumimos que el siniestro comenzó debido a una fuga de aceite de motor y, de acuerdo a los sistemas que funcionan en este sector los cuales son de lubricante de motor, turbos y combustibles, y es donde se presenta la mayor concentración de temperatura, aparentemente una de las mangueras de lubricación de turbo se juntó con la carcaza del mismo y debido a la alta temperatura con que estos componentes trabajan y la protección de esta manguera no resiste mucho tiempo bajo estas condiciones, ésta se rompió lo que produjo un derrame de aceite sobre los turbos ocasionando la inflamación".</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Por otra parte, la conclusión a la que arriba el perito judicial don Fernando Antonio Herrera Cruzat, coincide también con las expresiones vertidas por el ingeniero en ejecución mecánica don Alberto Molina Rojas, quien en su informe técnico refiere: "El incendio se inicia producto de una fisura interna en la manguera de lubricación turbo lado derecho", añadiendo que "las mangueras de caucho sintético, neoprén o teflón son susceptibles de fisurarse o romperse por su exposición permanente a altas temperaturas, roces y movimientos"; que "debe descartarse absolutamente que el incendio se hubiese producido por una fuga de aceite originada por una deficiente instalación de la manguera de lubricación turbo, por tener conexiones o fittings inadecuados"; y que "es importante destacar que en ningún momento se registra una señal que active, deteniendo el motor diesel por alta temperatura, bajo nivel del liquido refrigerante, bajo nivel del aceite de motor, baja presión de aceite en caja de engranaje etc. Esto es preocupante desde el punto de vista de la seguridad del operador y del propietario, pues no obstante el alto costo de este cargador, no se protegen adecuada y suficientemente los componentes de alto valor como el motor diesel, caja de bombas hidráulicas, generador, etc".</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QUINTO: Que conforme a lo referido precedentemente, estos sentenciadores tendrán por establecido que el proceso de combustión que derivó en el incendio que destruyo el cargador frontal Le Tourneau L 1400, se produjo a consecuencia de una fisura sufrida por la manguera de acoplamiento de lubricación del turbo derecho de la maquina.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Sobre el particular, habiendo hecho presente el perito don Fernando Antonio Herrera Cruzat que tal adminículo "habría sido instalado nuevo en la revisión correspondiente a las 12:00 horas, que se practicó". tres horas antes del incendio", circunstancia fáctica de la que la demandada infiere la posibilidad de que personal de Minera Lomas Bayas S.A. hubiese colocado un repuesto "no original", -argumentación mediante la cual tácitamente acepta la posibilidad de que el siniestro se hubiese originado en un sobre calentamiento y posterior rotura del mencionado aparejo-, es menester, entonces, observar que tal aseveración resulta rebatida por el mérito del informe pericial emitido por el ingeniero don Aquiles Sepúlveda Osses, del Departamento de Ingeniería Mecánica de la Facultad de Ciencias Físicas y Matemáticas de la Universidad de Chile, quien refiere que la manguera que fue retirada del vehículo siniestrado -la cual conforme a la declaración jurada de don Pablo Toloza Fernández, a fojas 1.847, una vez separada del cargador frontal fue puesta por él a disposición del Notario Público, don Julio Abasolo Aravena, para ser remitida al Departamento de Ingeniería Mecánica a efectos de ser periciada- es del mismo tipo de la manguera nueva que lleva estampado el número 3177046 48-98, reflexionando que el primer conjunto numérico de la serie probablemente corresponde al número </w:t>
      </w:r>
      <w:r w:rsidRPr="00AA4CB6">
        <w:rPr>
          <w:rFonts w:ascii="Times New Roman" w:hAnsi="Times New Roman" w:cs="Times New Roman"/>
          <w:sz w:val="24"/>
          <w:szCs w:val="24"/>
        </w:rPr>
        <w:lastRenderedPageBreak/>
        <w:t>invariable de parte. Agrega, asimismo, que ""existe un catálogo Cummins donde se ilustra una manguera similar a la manguera nueva" e identificada con el número de parte 3177046. En consecuencia, y por la lógica de la transitividad de las igualdades: la manguera retirada del turbo del vehículo siniestrado es un componente descrito en un catálogo Cummins", situación que le hace concluir finalmente que ""la manguera de alta presión ocupada en el turbo derecho del cargador L 1400 siniestrado es "original; en su defecto, Minera Lomas Bayas no tuvo antecedentes suficientes para pensarlo así".</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Lo anterior encuentra igualmente asidero en el mérito de las ordenes de compra de Compañía Minera Lomas Bayas a DICSA Mining Service, números 9901549, de 11 de mayo de 1999 y 20000170, de 18 de enero de 2000, ambas incluyendo la manguera flexible de acero numero de catalogo 3177046; de las fotocopias autorizadas de las guías de despacho Nos. 60207, 62870, 60158, 60309, 33253 y 32306, todas emitidas por Dicsa Mining Services S.A. y Komatsu Mining Systems Ch ile S.A. a Compañía Minera Lomas Bayas por la venta y entrega de repuestos originales incluyendo mangueras de acero flexibles con nicles, como aquella cuya fisura -según se ha acreditado en estos autos- fue la causa del incendio; de la copia autorizada de las especificaciones del cargador frontal Le Tourneau L 1400; y de la copia del catálogo de partes del motor Cummins del tipo del cargador frontal siniestrado.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SEXTO: Que determinado entonces que la manguera de acoplamiento de lubricación del turbo derecho del cargador frontal L 1400 era al momento del siniestro un repuesto original, que se correspondía exactamente con las indicaciones impartidas a la Minera Lomas Bayas S.A. por la vendedora Le Tourneau Inc. en distintas etapas de la relación contractual que las vinculó y que, conforme a lo reflexionado en los motivos precedentes, fue instalada correctamente en dicha maquinaria por personal de mantenimiento de dicha empresa tres horas antes de iniciado el siniestro, cabe ahora razonar acerca de la circunstancia de haber conocido el vendedor el vicio -en este caso la vulnerabilidad de la manguera en cuestión- y no haberlo declarado al momento de la compraventa, o si el vicio era tal que el vendedor haya debido conocerlos por razón de su profesión u oficio.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Al respecto y atendido el mérito, entre otros, de la copia autorizada de la factura emitida por Le Tourneau Inc. a Compañía Minera Gibraltar Limitada, el 5 de junio de 1997, respecto a la venta del cargador siniestrado; de la copia autorizada del conocimiento de embarque emitido por BHP Internacional Maritime Transport, que da cuenta del contrato de transporte marítimo celebrado entre Le Tourneau Inc. con los transportadores ya mencionados, para el porteo del cargador frontal Le Tourneau L 1400, desde Houston a Antofagasta; de la copia autorizada de la declaración de importación correspondiente al cargador Le Tourneau L 1400; de la copia autorizada del formulario de liquidación de gravámenes, giro comprobante de pago, correspondiente a la importación del cargador frontal Le Tourneau L 1400; de la copia autorizada del informe de importación Nº 693104, de fecha 6 de junio de 1997; de la copia autorizada de las especificaciones del Cargador Frontal Le Tourneau L 1400; de la copia autorizada del manifiesto lista de empaque correspondiente al cargador frontal Le Tourneau L 1400, con sus piezas y accesorios; de la copia autorizada del comprobante de recepción de la empresa portuaria de Antofagasta del cargador frontal Le Tourneau; y del manual de mantenimiento del cargador frontal L 1400 emitido por Le Tourneau, el tribunal establece que es un hecho de la causa que en razón del giro de la actividad de la demandada, quien se dedica precisamente a la venta de este tipo de maquinaria especializada, ella no pudo desconocer el vicio que afectaba al cargador frontal Le Tourneau L 1400, en relación específicamente a la manguera de acoplamiento de lubricación del turbo derecho de la maquina;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SEPTIMO: Que establecidos los supuestos fácticos en que se sustenta la demanda de autos, esto es: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a).- Que el 5 de agosto de 1999, en circunstancias que el cargador frontal era maniobrado por personal de Minera Lomas Bayas S.A. en sus labores habituales y, a raíz de una fisura en la manguera de acoplamiento de lubricación del turbo derecho, se generó un proceso de combustión que derivó, en definitiva, en la perdida total de la referida maquinaria;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b).- Que el incendio se debió a que la manguera de acoplamiento de lubricación del turbo derecho, que contempla el diseño de fabrica de la demandada, no fue capaz de soportar los rigores habituales del trabajo a que es sometido este tipo de maquinarias, toda vez que el material empleado en su elaboración se fisuró, permitiendo la iniciación del proceso de combustión que originó el siniestro; y</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c).- Que en razón del giro de la actividad de la demandada, quien se dedica precisamente a la venta de este tipo de maquinaria especializada, no pudo desconocer el vicio que afectaba al cargador frontal Le Tourneau L 1400, en relación a la manguera de acoplamiento de lubricación del turbo derecho de la maquina;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Se hace indispensable, enseguida, reflexionar respecto de la prescripción de la acción de indemnización de perjuicios entablada en autos;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OCTAVO: Que sustentándose la pretensión de resarcimiento de la demandante en la existencia de defectos de la cosa vendida, objeto material del contrato de compraventa, corresponde entonces dilucidar, cual es el plazo de prescripción que se aplica a la acción indemnizatoria prevista en los artículos 18 61 y 1867 del Código Civil;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NOVENO: Que el primero de los aludidos preceptos legales establece: "Si el vendedor conocía los viciosy no los declaró, o si los vicios eran tales que el vendedor haya debido conocerlos por razón de su profesión u oficio, será obligado no sólo a la restitución o la rebaja del precio, sino a la indemnización de perjuicios"". A su turno, el artículo 1866 del Código Civil señala: "La acción redhibitoria durará seis meses respecto de las cosas muebles y un año respecto de los bienes raíces, en todos los casos que las leyes especiales o las estipulaciones de los contratantes no hubieren ampliado o restringido este plazo. El tiempo se contará desde la entrega real". Por su parte, el artículo 1867 del mismo estatuto jurídico indica que: "Habiendo prescrito la acción redhibitoria, tendrá todavía derecho el comprador para pedir la rebaja del precio y la indemnización de perjuicio según las reglas precedentes.";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DECIMO: Que el problema de fondo que plantea el presente recurso es doble y relativo al contrato de compraventa.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1.- En primer lugar, es dable cuestionarse si la regulación por parte del legislador de la acción que tiene por objeto solicitar se declare la obligación del vendedor de indemnizar perjuicios, lo ha sido de manera conjunta o independiente con la de los vicios redhibitorios. En otras palabras: La acción para reclamar la resolución de la venta o para rebajar proporcionalmente el precio, con motivo de los vicios ocultos de la cosa vendida, considera naturalmente y accesorias a ellas la de indemnizar perjuicios o, por el contrario, la acción destinada a solicitar la indemnización de perjuicios es independiente y no depende que se interpongan aquellas acciones, de la cual no deriva ni accede, guardando una identidad propia que le permite ser interpuesta incluso con prescindencia de las anteriores.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2.- Resuelto ese primer aspecto, corresponde precisar, entonces, el plazo de prescripción de las distintas acciones, en su caso;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 xml:space="preserve"> UNDECIMO: Que sobre el particular es menester reflexionar que, en general, los efectos de las obligacion</w:t>
      </w:r>
      <w:r>
        <w:rPr>
          <w:rFonts w:ascii="Times New Roman" w:hAnsi="Times New Roman" w:cs="Times New Roman"/>
          <w:sz w:val="24"/>
          <w:szCs w:val="24"/>
        </w:rPr>
        <w:t>e</w:t>
      </w:r>
      <w:r w:rsidRPr="00AA4CB6">
        <w:rPr>
          <w:rFonts w:ascii="Times New Roman" w:hAnsi="Times New Roman" w:cs="Times New Roman"/>
          <w:sz w:val="24"/>
          <w:szCs w:val="24"/>
        </w:rPr>
        <w:t>s se determinan por su cumplimiento o incumplimiento.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En el contrato de compraventa el artículo 1824 del Código Civil expresa: "Las obligaciones del vendedor se reducen en general a dos: la entrega o tradición, y el saneamiento de la cosa vendida"; saneamiento que obliga a responder por la cosa vendida en cuanto a su evicción y de los vicios redhibitorios que presente. En este caso, el legislador se ha preocupado de determinar precisos casos de incumplimiento y la responsabilidad del vendedor.</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Siguiendo los principios generales, se prefiere mantener la vigencia del contrato y se deja expresamente establecido en el artículo 1860 de la normativa citada, que "Los vicios redhibitorios dan derecho al comprador para exigir o la rescisión (resolución) de la venta o la rebaja del precio, según mejor le pareciere", determinando de esta forma el objeto natural que tendrá la acción, entregando la elección de la alternativa al comprador (en otros casos se entrega la posibilidad de mantener el negocio al vendedor, como es en la lesión enorme).</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La determinación del objeto de la acción alternativa no priva de aplicación a las normas que reglamentan el incumplimiento contractual en general sino que, por el contrario, tienden a reforzarlo y, es así, que en el siguiente artículo 1861 de la citada codificación se hace la siguiente distinción: a).- Si el vendedor conocía los vicios y no los declaró, o si los vicios eran tales que el vendedor haya debido conocerlos por razón de su profesión u oficio, será obligado, a la restitución del precio o a la rebaja del mismo, además de la indemnización de perjuicios; y b).- Si el vendedor no conocía los vicios ni eran tales que por su profesión u oficio debía conocerlos, sólo estará obligado a la restitución o la rebaja del precio.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La referencia, para el caso de existir dolo por parte del vendedor, e n orden a que, además, concurre la obligación de indemnizar perjuicios, importa que el legislador no la ha excluido, por lo que indudablemente ella debe entenderse, en el contexto de las normas generales, que dice relación con la obligación de indemnizar los perjuicios imprevistos, según lo refiere el artículo 1558 del mismo Código Civil, si tales perjuicio son acreditados. Del mismo modo, siendo desconocidos los vicios para el vendedor, la reparación ha sido limitada a la restitución de lo entregado o la rebaja del precio.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Los vicios redhibitorios que no tengan el carácter de grave previsto en el numeral segundo del artículo 1858 del Código Civil, dan derecho a indemnización, a lo menos, por la modalidad de rebaja del precio, confo</w:t>
      </w:r>
      <w:r>
        <w:rPr>
          <w:rFonts w:ascii="Times New Roman" w:hAnsi="Times New Roman" w:cs="Times New Roman"/>
          <w:sz w:val="24"/>
          <w:szCs w:val="24"/>
        </w:rPr>
        <w:t>r</w:t>
      </w:r>
      <w:r w:rsidRPr="00AA4CB6">
        <w:rPr>
          <w:rFonts w:ascii="Times New Roman" w:hAnsi="Times New Roman" w:cs="Times New Roman"/>
          <w:sz w:val="24"/>
          <w:szCs w:val="24"/>
        </w:rPr>
        <w:t>me lo dispone el artículo 1868 del mismo cuerpo legal.</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En el evento que en el contrato se excluya de responsabilidad al vendedor por tales vicios, de todos modos se encuentra obligado a sanearlos, en el caso de existir dolo (artículo 1859 del Código Civil), guardando concordancia con las normas generales, las que igualmente privan de eficacia a la condonación del dolo futuro.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De esta forma, en la compraventa y con motivo de los vicios redhibitorios sólo cobra aplicación integral la teoría de los daños, tanto de la naturaleza de la indemnización (compensatoria y moratoria), como de la extensión de los daños y perjuicios (material y moral; daño emergente y lucro cesante; perjuicios previstos e imprevistos; directos e indirectos), en el incumplimiento en que concurra culpa grave o dolo.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Por otra parte, el Código Civil se ha referido al objeto de la acción en cuanto a los vicios redhibitoriosen los siguientes términos: 1857: "se rescinda (resuelva) la venta o se rebaje proporcionalmente el precio"; 1859: "estará obligado a sanear"; 1860: "o la rescisión (resolución) o la rebaja del precio"; 1861: "la </w:t>
      </w:r>
      <w:r w:rsidRPr="00AA4CB6">
        <w:rPr>
          <w:rFonts w:ascii="Times New Roman" w:hAnsi="Times New Roman" w:cs="Times New Roman"/>
          <w:sz w:val="24"/>
          <w:szCs w:val="24"/>
        </w:rPr>
        <w:lastRenderedPageBreak/>
        <w:t>restitución (resolución) o la rebaja del precio, sino a la indemnización de perjuicios", "restitución (resolución) o la rebaja del precio"; 1862: "rebaja del precio", "se seguirán las reglas del artículo precedente"; 1865: "habrá lugar a la acción redhibitoria y a la indemnización de perjuicios"; 1867: "acción redhibitoria", "rebaja del precio y la indemnización de perjuicios según las reglas precedentes"; 1868: "rescisión" (resolución), "rebaja del precio"; 1869: "rebaja del precio", y 1870: "rebaja del precio". Es así que la doctrina ha distinguido que la acción redhibitoria puede tener por objeto la resolución del contrato, la rebaja del precio y la indemnización de perjuicios, dejando establecido que la restitución es una forma de aludir a la de resolución, lo mismo que al señalar rescisión. Con esta misma claridad la doctrina ha indicado que la acción de indemnización de perjuicios procede solamente en los casos que se contempla expresamente y a que se refieren los artículos 1861, 1865 y 1867 del Código Civil.</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Una interpretación armónica e integral de tales disposiciones lleva a entender que la acción resolutoria es la propiamente redhibitoria y la rebaja del precio (quanti minoris o aestimatoria) integra la indemnizatoria, pues en última instancia -declarado el derecho- significa que, aplicando el modo de extinguir las obligaciones denominado compensación, podrá importar una rebaja del precio, pero su objeto no queda limitado únicamente a dicha forma de indemnización. Por aplicación de las reglas generales y de la compensación, la rebaja del precio opera por vía de consecuencia, sin perjuicio que por una estimación de la entidad de los vicios, pueda pedirse directa y únicamente dicha rebaja.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La indemnización de perjuicios tiene entidad independiente que la ley prevé en general, sin que existan razones para vincularla de manera determinante con cada una de aquellas acciones de resolución y rebaja del precio, como tampoco para entenderla accesoria a las mismas, en especial cuando se reclama la reparación de daños morales.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Una razón fundamental surge para ello: tanto la teoría clásica, al considerar que la indemnización es la misma obligación cuyo cumplimiento se logra por medio de la justicia en naturaleza o por equivalencia, como por la teoría moderna que indica que la indemnización es una nueva obligación, llegan a la conclusión que se trata de una obligación principal, nunca accesoria y con mayor razón no puede ser accesoria del saneamiento, que integra la teoría general de las obligaciones de garantía, las cuales son reconocidamente accesorias;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DUODECIMO: Que teniendo en consideración que el Código Civil distingue en el artículo 1861 la responsabilidad del vendedor en quien se comprueba culpa lata o dolo respecto de los vicios ocultos y en quien sólo concurre culpa leve o levísima en los términos ya expuestos con anterioridad, haciendo procedente en los primeros, además de la resolución y la rebaja del precio, la indemnización de perjuicios; por su parte el artículo 1866 regula el plazo de prescripción de la acción redhibitoria, no así de la indemnizatoria, cuando ésta procede; el artículo 1867 reconoce el derecho del comprador para pedir la rebaja del precio y la indemnización de perjuicios, no obstante la prescripción de la acción resolutoria, con lo cual mantiene la identidad de las tres acciones (resolutoria, rebaja del precio e indemnizatoria); y el artículo 1869 regula la prescripción de la acción que tiene por objeto solicitar la rebaja del precio, sin referirse a la indemnizatoria.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Es así que interpretando armónicamente los artículos 1861, 1866, 1867 y 1869, se puede, a lo menos, llegar a establecer lo siguiente: a).- Concurriendo dolo o culpa grave por parte del vendedor, además de la resolución y rebaja del precio, procede la indemnización de los daños y perjuicios causados;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 xml:space="preserve"> b).- La prescripción de la acción redhibitoria extingue la posibilidad de pedir la resolución del contrato, pero persiste la acción para solicitar la rebaja del precio y la indemnización de perjuicios, concurriendo los supuestos anteriores;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c) La prescripción de las acciones redhibitorias y quanti minoris no incluye la prescripción de la acción de indemnización de perjuicios; y</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 La prescripción de la acción indemnizatoria se rige por las reglas generales.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Estas dos últimas conclusiones derivan del hecho que los artículos 1866 y 1869 dicen relación, únicamente, con la prescripción de la acción redhibitoria y de la acción para pedir rebaja del precio, sin mencionar expresamente la prescripción de la acción indemnizatoria, debiendo considerarse al efecto que las disposiciones legales que estatuyen dicha institución jurídica son normas de derecho estricto y, por ende, de interpretación restrictiva.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En el entendido que debe preferirse la interpretación sobre la base de la cual se otorguen efectos a las disposiciones legales, cuando se solicite única y directamente la rebaja del precio regirán las normas especiales del Código Civil respecto de la prescripción, las que no pueden alcanzar otras formas de indemnización, que se regirán por las reglas generales. Refuerza esta conclusión el hecho que el artículo 1856 del mismo código dispone que la "acción de saneamiento por evicción prescribe en cuatro años, mas por lo tocante a la sola restitución del precio, prescribe según las reglas generales", de lo cual se puede inferir que los casos especiales que reglamente el código prescriben en el tiempo que se establece, que dan origen a las prescripciones especiales de corto tiempo, pero ellas no integran exclusivamente la teoría general de la responsabilidad por los hechos ilícitos, sean estos contractuales o extracontractuales, pues no tienen la virtud de normar toda la materia, sino tales casos especiales, dejando a salvo la aplicación de las reglas generales, sin que se observe nada de particular en el antecedente que la prescripción se refiera a ellas y se permita reclamar otros perjuicios de distinta naturaleza.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En efecto, la acción propiamente redhibitoria tiene un carácter resolutivo y, conforme al artículo 1489 del Código Civil y a la jurisprudencia de esta Corte, la indemnización no está vinculada sólo con la resolución o el cumplimiento del contrato, pues, ante el incumplimiento contractual, se puede solicitar únicamente la indemnización de perjuicios, sin que necesariamente corresponda asociarla a dicha resolución o cumplimiento.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Por otra parte, la acción quanti minoris evidentemente busca una reparación dineraria, precisión del objeto de la acción que no le otorga una naturaleza específica que la aparte de su carácter indemnizatorio, sin perjuicio que esta precisión del objeto pueda ser regulada de manera especial en cuanto a la prescripción, según se ha dicho;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DECIMO TERCERO: Que, sin querer hacer una referencia pormenorizada a la historia de la norma, corresponde tener en consideración que la acción redhibitoria se desarrolló fundamentalmente en el "Edicto de los Ediles Curules" en el Derecho Romano, el que tenía por finalidad permitir o conceder acción en casos especiales, para facilitar y no controvertir su interposición, regulándose de manera especial el plazo de prescripción de las acciones según su objeto. Tales diferencias pasan al derecho castellano, francés, chileno y, en general, a las principales legislaciones romano-germánicas, pero que buscan evitar nuevas discusiones sobre su procedencia, en atención a que en su génesis, sólo se reconoce acción en ciertos casos, que difieren de lo s principios actualmente vigentes sobre responsabilidad.</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lastRenderedPageBreak/>
        <w:t>Esta visión integral del Derecho lleva a limitar la reglamentación de los vicios redhibitorios a los casos reglamentados por el legislador especialmente, pero no excluye la posibilidad de interponer las acciones que busquen obtener una declaración distinta de la resolución del contrato o directamente la rebaja del precio, con motivo de los vicios ocultos que pueda tener la cosa vendida, superando de esta forma la exclusión de daños efectivamente causados, entre los que se encuentra el dañ o moral en la responsabilidad contractual, limitando su procedencia a la justificación del mismo, en los casos concretos de que se trata.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Esta conclusión no es nueva en el derecho histórico, es así como en el Derecho Romano la violación de la reglamentación dada por los edictos se penaba por los ediles con multa a favor del comprador, quien era el legitimado para perseguirla, para lo cual se "crearon dos acciones: la redhibitoria, por la que se resolvía la venta y se condenaba al vendedor al doble y, la quanti minoris estimatoria, por la que se obtenía una rebaja del precio, avaluada en atención a los vicios de que adolecía la cosa" (Arturo Alessandri Rodríguez, De la Compra Venta, De la Promesa de Venta, Imprenta Litografía Barcelona, año 1918, Tomo II, páginas 255 y 256).</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Por otra parte, en las Siete Partidas, específicamente en la Quinta Partida, glosa 337, se indica que a causa del dolo del vendedor todas las acciones degeneran, así que restituyéndole la cosa puede reconvenirse al vendedor "para que devuelva el precio y satisfaga los perjuicios", aspecto que guarda concordancia con los artículos 1861 y 1867 del Código Civil. En el mismo sentido, se distinguió entre la acción quanti minoris civil y pretoria, teniendo presente el precio a considerar para la rebaja, esto es el estipulado o el común, dejando acción perpetua para la común y de un año para la pretoria, no obstante las dudas que anota el glosador sobre la vigencia de esta distinción.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Tampoco es nueva la argumentación expresada en esta motivación, pues el mismo profesor Alessandri deja constancia que los autores franceses discutían sobre la naturaleza de la acción redhibitoria, en el sentido de ser una obligación de saneamiento o si es más propiamente una responsabilidad del vendedor (op. cit.pág. 252), agrega más adelante, transcribiendo un pasaje de la obra del autor Guillouard que "el vendedor debe ser admitido a prestar su defensa antes de que el contrato pueda considerarse como rescindido y antes de que él esté obligado a la restitución del precio y al resarcimiento de los daños y perjuicios". (op. cit. pág. 253).</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De todo lo expuesto se puede reiterar que los vicios ocultos pueden dar origen independientemente a las acciones redhibitoria; quanti minoris e indemnizatoria, lo cual guarda correspondencia con distintas disposiciones del Código Civil, pero fundamentalmente con la regulación que el mismo Código realiza en relación con la condición resolutoria tácita, que en este caso está reglamentada especialmente. Es por ello que de interponerse ya la acción redhibitoria, ya la quanti minoris, igualmente se puede solicitar la indemnización de perjuicios o, de estimarlo pertinente el comprador, limitar sus pretensiones únicam</w:t>
      </w:r>
      <w:r>
        <w:rPr>
          <w:rFonts w:ascii="Times New Roman" w:hAnsi="Times New Roman" w:cs="Times New Roman"/>
          <w:sz w:val="24"/>
          <w:szCs w:val="24"/>
        </w:rPr>
        <w:t>e</w:t>
      </w:r>
      <w:r w:rsidRPr="00AA4CB6">
        <w:rPr>
          <w:rFonts w:ascii="Times New Roman" w:hAnsi="Times New Roman" w:cs="Times New Roman"/>
          <w:sz w:val="24"/>
          <w:szCs w:val="24"/>
        </w:rPr>
        <w:t>nte a la reparación de los daños;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DECIMO CUARTO: Que, precisado, entonces, que la acción derivada de los vicios redhibitorios puede tener diversos objetos, entre los que se encuentra la resolución, la indemnización en general y la rebaja del precio en particular, corresponde determinar los plazos que afectan a dichas acciones para que opere la prescripción como modo de extinguir las obligaciones: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1.- La primera norma que deberá aplicarse es aquella que fijen las partes, puesto que excepcionalmente éstas pueden convenir ampliar o restringir los plazos legales, ampliación, que podrá extenderse sólo </w:t>
      </w:r>
      <w:r w:rsidRPr="00AA4CB6">
        <w:rPr>
          <w:rFonts w:ascii="Times New Roman" w:hAnsi="Times New Roman" w:cs="Times New Roman"/>
          <w:sz w:val="24"/>
          <w:szCs w:val="24"/>
        </w:rPr>
        <w:lastRenderedPageBreak/>
        <w:t>hasta respetar el máximo legal y en caso de renuncia, corresponde igualmente tener en consideración las normas dispuestas por el legislador;</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2.- Para la acción resolutoria el plazo es de seis meses para la venta de cosas muebles y de un año para los inmuebles;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3.- El plazo de prescripción para la acción de rebaja del precio es de un año para los bienes muebles y de dieciocho meses para los bienes inmuebles;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4.- Para las acciones indemnizatorias que no tengan por objeto la rebaja del precio, el plazo será el fijado por las reglas generales, esto es, de tres años para su carácter ejecutivo y de dos años más como ordinarias.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w:t>
      </w:r>
      <w:r w:rsidR="0092382E">
        <w:rPr>
          <w:rFonts w:ascii="Times New Roman" w:hAnsi="Times New Roman" w:cs="Times New Roman"/>
          <w:sz w:val="24"/>
          <w:szCs w:val="24"/>
        </w:rPr>
        <w:t>DECIMO QUIN</w:t>
      </w:r>
      <w:r w:rsidRPr="00AA4CB6">
        <w:rPr>
          <w:rFonts w:ascii="Times New Roman" w:hAnsi="Times New Roman" w:cs="Times New Roman"/>
          <w:sz w:val="24"/>
          <w:szCs w:val="24"/>
        </w:rPr>
        <w:t xml:space="preserve">TO: Que conforme a tales razonamientos, para establecer el plazo de prescripción de la acción indemnizatoria general, corresponde aplicar la norma del artículo 2515 del Código Civil y, como en la especie, la entrega material del cargador frontal a la actora tuvo lugar, según reconoce en su contestación el demandado, durante el año 1997 y la demanda se notificó el 7 de mayo de 2001, debe concluirse con arreglo a lo previsto en la aludida disposición legal, que al tiempo de practicarse la notificación de la demanda no había transcurrido el término legal requerido y, por ende, la acción ordinaria de que se trata, no se encontraba extinguida por prescripción, situación por la que deberá, necesariamente, desestimarse dicha excepción opuesta por la demandada;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DECIMO SEXTO: Que establecido lo anterior, deben estos sentenciadores analizar la procedencia de la acción indemnizatoria materia de autos, debiendo considerar al efecto que son presupuestos necesarios de la acción indemnizatoria prevista en el artículo 1861 del Código Civil, la existencia devicios redhibitorios y que el vendedor conociera o haya debido conocer los vicios que se califican como tales en razón de su profesión u oficio, situaciones ambas que, como se señaló en los motivos quinto y sexto precedentes, resultaron debidamente determinadas, conforme al mérito de la prueba allegada al proceso;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DECIMO SEPTIMO: Que para la procedencia de la acción indemnizatoria es necesario, además, determinar la existencia de los perjuicios. Sabemos que en derecho civil toda acción de perjuicios supone la existencia de éstos y que no puede repararse lo que no existe. Daño y perjuicio son sinónimos y puede definirse como "todo detrimento que sufre una persona en su patrimonio material o moral". (René Abeliuk Manasevich, Las Obligaciones, Pág. 522);</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DECIMO OCTAVO: Que siendo hechos establecidos en esta causa la perdida total del cargador frontal Le Tourneau L-1400 y el consecuente pago de la demandante a Minera Lomas Bayas S.A. de la póliza de seguros Nº 001000051968, del mérito de la copia de la póliza de seguros Nº 1000051968, de la Compañía de Seguros Consorcio Allianz de Seguros Generales S.A. y del informe final de liquidación INI-08-31867 y anexos, emitido e l 27 de marzo de 2000, estos sentenciadores concluyen que efectivamente se produjo a la actora un perjuicio por el valor que debió cancelar a la asegurada, por concepto de la perdida total del cargador, suma que ascendió a U.S. $2.698.333 -habiéndose descontado previamente el deducible correspondiente-, el que deberá ser resarcido por la demandada;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DECIMO NOVENO: Que estos sentenciadores rechazarán la pretensión de la demandante en relación a los montos de dinero reclamados a título de lucro cesante, a raíz de supuestas perdidas de producción sufrida por Minera Lomas Bayas, ante la imposibilidad de uso del cargador incendiado y de gastos extraordinarios, que se hacen consistir en el arriendo de una nueva maquinaria contratada para reemplazar aquélla siniestrada, por no haberse acreditado suficientemente, según estima esta Corte, la </w:t>
      </w:r>
      <w:r w:rsidRPr="00AA4CB6">
        <w:rPr>
          <w:rFonts w:ascii="Times New Roman" w:hAnsi="Times New Roman" w:cs="Times New Roman"/>
          <w:sz w:val="24"/>
          <w:szCs w:val="24"/>
        </w:rPr>
        <w:lastRenderedPageBreak/>
        <w:t>relación de causalidad entre la situación fáctica en que se funda la acción indemnizatoria y los daños reclamados por tales rubros por el actor;</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VIGESIMO: Que la demandada deberá pagar dicha cantidad, con los reajustes correspondientes a la variación que experimente el Índice de Precios al Consumidor, a contar de la fecha en que la presente sentencia quede ejecutoriada e intereses relativos a operaciones reajustables, que procederán sólo en el ev</w:t>
      </w:r>
      <w:r w:rsidR="0092382E">
        <w:rPr>
          <w:rFonts w:ascii="Times New Roman" w:hAnsi="Times New Roman" w:cs="Times New Roman"/>
          <w:sz w:val="24"/>
          <w:szCs w:val="24"/>
        </w:rPr>
        <w:t>e</w:t>
      </w:r>
      <w:r w:rsidRPr="00AA4CB6">
        <w:rPr>
          <w:rFonts w:ascii="Times New Roman" w:hAnsi="Times New Roman" w:cs="Times New Roman"/>
          <w:sz w:val="24"/>
          <w:szCs w:val="24"/>
        </w:rPr>
        <w:t>nto de constituirse el demandado en mora del pago al que se le condena.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Por estas consideraciones y visto, además, lo dispuesto en las disposiciones legales citadas, se resuelve</w:t>
      </w:r>
    </w:p>
    <w:p w:rsidR="0092382E"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I.- Que se revoca la sentencia apelada, de veintiséis de noviembre de dos mil tres, escrita de fojas 2.748 a fojas 2.823, en cuanto dispone que se rechaza la demanda de autos por encontrarse prescrita la acción entablada de indemnización de perjuicios; y en su lugar se declara: </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1.- Que se rechaza la excepción de prescripción de la acción </w:t>
      </w:r>
      <w:r w:rsidR="0092382E">
        <w:rPr>
          <w:rFonts w:ascii="Times New Roman" w:hAnsi="Times New Roman" w:cs="Times New Roman"/>
          <w:sz w:val="24"/>
          <w:szCs w:val="24"/>
        </w:rPr>
        <w:t>de indemnización de perjuicios.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2.- Que se acoge la demanda de autos, sólo en cuanto se condena a la demandada a pagar a la actora la suma de U.S. $2.698.333, por concepto de indemnización de perjuicios, más los intereses y reajustes en la forma en que se detalló en el motivo vigésimo.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3.- Que no se condena en costas a la demandada por haber tenido motivo plausible para litigar.</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II.- Se confirma, en lo demás apelado, el referido fallo.</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Regístrese y devuélvase, con sus agregados.</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Redacción a cargo del Ministro Sr. Juan Araya Elizalde.</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Nº 8.115-08.-</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Pronunciado por la Primera Sala de la Corte Suprema, por los Ministros Sres. Adalis Oyarzún M., Sergio Muñoz G., Juan Araya E., Guillermo Silva G. y Fiscal Judicial Sra. Mónica Maldonado C.</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No firma la Fiscal Judicial Sra. Maldonado, no obstante haber concurrido a la vista del recurso y acuerdo del fallo, por estar con licencia médica.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Autorizado por la Secretaria Sra. Rosa María Pinto Egusquiza.</w:t>
      </w:r>
    </w:p>
    <w:p w:rsidR="00AA4CB6" w:rsidRPr="00AA4CB6" w:rsidRDefault="00AA4CB6" w:rsidP="00AA4CB6">
      <w:pPr>
        <w:shd w:val="clear" w:color="auto" w:fill="FFFFFF" w:themeFill="background1"/>
        <w:spacing w:line="240" w:lineRule="auto"/>
        <w:jc w:val="both"/>
        <w:rPr>
          <w:rFonts w:ascii="Times New Roman" w:hAnsi="Times New Roman" w:cs="Times New Roman"/>
          <w:sz w:val="24"/>
          <w:szCs w:val="24"/>
        </w:rPr>
      </w:pPr>
      <w:r w:rsidRPr="00AA4CB6">
        <w:rPr>
          <w:rFonts w:ascii="Times New Roman" w:hAnsi="Times New Roman" w:cs="Times New Roman"/>
          <w:sz w:val="24"/>
          <w:szCs w:val="24"/>
        </w:rPr>
        <w:t xml:space="preserve"> En Santiago, a ocho de julio de dos mil diez, notifiqué en Secretaría por el Estado Diario la resolución precedente.</w:t>
      </w:r>
    </w:p>
    <w:p w:rsidR="00EE00B5" w:rsidRPr="00AA4CB6" w:rsidRDefault="00EE00B5" w:rsidP="00426659">
      <w:pPr>
        <w:shd w:val="clear" w:color="auto" w:fill="FFFFFF" w:themeFill="background1"/>
        <w:spacing w:line="240" w:lineRule="auto"/>
        <w:jc w:val="both"/>
        <w:rPr>
          <w:rFonts w:ascii="Times New Roman" w:hAnsi="Times New Roman" w:cs="Times New Roman"/>
          <w:sz w:val="24"/>
          <w:szCs w:val="24"/>
        </w:rPr>
      </w:pPr>
    </w:p>
    <w:sectPr w:rsidR="00EE00B5" w:rsidRPr="00AA4CB6" w:rsidSect="0092382E">
      <w:footerReference w:type="default" r:id="rId8"/>
      <w:pgSz w:w="12240" w:h="15840" w:code="1"/>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04E" w:rsidRDefault="00AC704E" w:rsidP="00AA4CB6">
      <w:pPr>
        <w:spacing w:after="0" w:line="240" w:lineRule="auto"/>
      </w:pPr>
      <w:r>
        <w:separator/>
      </w:r>
    </w:p>
  </w:endnote>
  <w:endnote w:type="continuationSeparator" w:id="0">
    <w:p w:rsidR="00AC704E" w:rsidRDefault="00AC704E" w:rsidP="00AA4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044594"/>
      <w:docPartObj>
        <w:docPartGallery w:val="Page Numbers (Bottom of Page)"/>
        <w:docPartUnique/>
      </w:docPartObj>
    </w:sdtPr>
    <w:sdtEndPr>
      <w:rPr>
        <w:rFonts w:ascii="Times New Roman" w:hAnsi="Times New Roman" w:cs="Times New Roman"/>
      </w:rPr>
    </w:sdtEndPr>
    <w:sdtContent>
      <w:p w:rsidR="00AA4CB6" w:rsidRPr="00AA4CB6" w:rsidRDefault="00AA4CB6">
        <w:pPr>
          <w:pStyle w:val="Piedepgina"/>
          <w:jc w:val="center"/>
          <w:rPr>
            <w:rFonts w:ascii="Times New Roman" w:hAnsi="Times New Roman" w:cs="Times New Roman"/>
          </w:rPr>
        </w:pPr>
        <w:r w:rsidRPr="00AA4CB6">
          <w:rPr>
            <w:rFonts w:ascii="Times New Roman" w:hAnsi="Times New Roman" w:cs="Times New Roman"/>
          </w:rPr>
          <w:fldChar w:fldCharType="begin"/>
        </w:r>
        <w:r w:rsidRPr="00AA4CB6">
          <w:rPr>
            <w:rFonts w:ascii="Times New Roman" w:hAnsi="Times New Roman" w:cs="Times New Roman"/>
          </w:rPr>
          <w:instrText>PAGE   \* MERGEFORMAT</w:instrText>
        </w:r>
        <w:r w:rsidRPr="00AA4CB6">
          <w:rPr>
            <w:rFonts w:ascii="Times New Roman" w:hAnsi="Times New Roman" w:cs="Times New Roman"/>
          </w:rPr>
          <w:fldChar w:fldCharType="separate"/>
        </w:r>
        <w:r w:rsidR="00EA3456" w:rsidRPr="00EA3456">
          <w:rPr>
            <w:rFonts w:ascii="Times New Roman" w:hAnsi="Times New Roman" w:cs="Times New Roman"/>
            <w:noProof/>
            <w:lang w:val="es-ES"/>
          </w:rPr>
          <w:t>1</w:t>
        </w:r>
        <w:r w:rsidRPr="00AA4CB6">
          <w:rPr>
            <w:rFonts w:ascii="Times New Roman" w:hAnsi="Times New Roman" w:cs="Times New Roman"/>
          </w:rPr>
          <w:fldChar w:fldCharType="end"/>
        </w:r>
      </w:p>
    </w:sdtContent>
  </w:sdt>
  <w:p w:rsidR="00AA4CB6" w:rsidRDefault="00AA4C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04E" w:rsidRDefault="00AC704E" w:rsidP="00AA4CB6">
      <w:pPr>
        <w:spacing w:after="0" w:line="240" w:lineRule="auto"/>
      </w:pPr>
      <w:r>
        <w:separator/>
      </w:r>
    </w:p>
  </w:footnote>
  <w:footnote w:type="continuationSeparator" w:id="0">
    <w:p w:rsidR="00AC704E" w:rsidRDefault="00AC704E" w:rsidP="00AA4C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B5"/>
    <w:rsid w:val="0003106C"/>
    <w:rsid w:val="00426659"/>
    <w:rsid w:val="00496047"/>
    <w:rsid w:val="0070494C"/>
    <w:rsid w:val="00742701"/>
    <w:rsid w:val="0092382E"/>
    <w:rsid w:val="009A19A0"/>
    <w:rsid w:val="00A06318"/>
    <w:rsid w:val="00AA4CB6"/>
    <w:rsid w:val="00AC704E"/>
    <w:rsid w:val="00EA3456"/>
    <w:rsid w:val="00EE00B5"/>
    <w:rsid w:val="00FF63F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00B5"/>
  </w:style>
  <w:style w:type="character" w:customStyle="1" w:styleId="skypepnhcontainer">
    <w:name w:val="skype_pnh_container"/>
    <w:basedOn w:val="Fuentedeprrafopredeter"/>
    <w:rsid w:val="00EE00B5"/>
  </w:style>
  <w:style w:type="character" w:customStyle="1" w:styleId="skypepnhleftspan">
    <w:name w:val="skype_pnh_left_span"/>
    <w:basedOn w:val="Fuentedeprrafopredeter"/>
    <w:rsid w:val="00EE00B5"/>
  </w:style>
  <w:style w:type="character" w:customStyle="1" w:styleId="skypepnhdropartspan">
    <w:name w:val="skype_pnh_dropart_span"/>
    <w:basedOn w:val="Fuentedeprrafopredeter"/>
    <w:rsid w:val="00EE00B5"/>
  </w:style>
  <w:style w:type="character" w:customStyle="1" w:styleId="skypepnhdropartflagspan">
    <w:name w:val="skype_pnh_dropart_flag_span"/>
    <w:basedOn w:val="Fuentedeprrafopredeter"/>
    <w:rsid w:val="00EE00B5"/>
  </w:style>
  <w:style w:type="character" w:customStyle="1" w:styleId="skypepnhtextspan">
    <w:name w:val="skype_pnh_text_span"/>
    <w:basedOn w:val="Fuentedeprrafopredeter"/>
    <w:rsid w:val="00EE00B5"/>
  </w:style>
  <w:style w:type="character" w:customStyle="1" w:styleId="skypepnhrightspan">
    <w:name w:val="skype_pnh_right_span"/>
    <w:basedOn w:val="Fuentedeprrafopredeter"/>
    <w:rsid w:val="00EE00B5"/>
  </w:style>
  <w:style w:type="paragraph" w:styleId="Textodeglobo">
    <w:name w:val="Balloon Text"/>
    <w:basedOn w:val="Normal"/>
    <w:link w:val="TextodegloboCar"/>
    <w:uiPriority w:val="99"/>
    <w:semiHidden/>
    <w:unhideWhenUsed/>
    <w:rsid w:val="00EE00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0B5"/>
    <w:rPr>
      <w:rFonts w:ascii="Tahoma" w:hAnsi="Tahoma" w:cs="Tahoma"/>
      <w:sz w:val="16"/>
      <w:szCs w:val="16"/>
    </w:rPr>
  </w:style>
  <w:style w:type="paragraph" w:styleId="Encabezado">
    <w:name w:val="header"/>
    <w:basedOn w:val="Normal"/>
    <w:link w:val="EncabezadoCar"/>
    <w:uiPriority w:val="99"/>
    <w:unhideWhenUsed/>
    <w:rsid w:val="00AA4C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4CB6"/>
  </w:style>
  <w:style w:type="paragraph" w:styleId="Piedepgina">
    <w:name w:val="footer"/>
    <w:basedOn w:val="Normal"/>
    <w:link w:val="PiedepginaCar"/>
    <w:uiPriority w:val="99"/>
    <w:unhideWhenUsed/>
    <w:rsid w:val="00AA4C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4C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00B5"/>
  </w:style>
  <w:style w:type="character" w:customStyle="1" w:styleId="skypepnhcontainer">
    <w:name w:val="skype_pnh_container"/>
    <w:basedOn w:val="Fuentedeprrafopredeter"/>
    <w:rsid w:val="00EE00B5"/>
  </w:style>
  <w:style w:type="character" w:customStyle="1" w:styleId="skypepnhleftspan">
    <w:name w:val="skype_pnh_left_span"/>
    <w:basedOn w:val="Fuentedeprrafopredeter"/>
    <w:rsid w:val="00EE00B5"/>
  </w:style>
  <w:style w:type="character" w:customStyle="1" w:styleId="skypepnhdropartspan">
    <w:name w:val="skype_pnh_dropart_span"/>
    <w:basedOn w:val="Fuentedeprrafopredeter"/>
    <w:rsid w:val="00EE00B5"/>
  </w:style>
  <w:style w:type="character" w:customStyle="1" w:styleId="skypepnhdropartflagspan">
    <w:name w:val="skype_pnh_dropart_flag_span"/>
    <w:basedOn w:val="Fuentedeprrafopredeter"/>
    <w:rsid w:val="00EE00B5"/>
  </w:style>
  <w:style w:type="character" w:customStyle="1" w:styleId="skypepnhtextspan">
    <w:name w:val="skype_pnh_text_span"/>
    <w:basedOn w:val="Fuentedeprrafopredeter"/>
    <w:rsid w:val="00EE00B5"/>
  </w:style>
  <w:style w:type="character" w:customStyle="1" w:styleId="skypepnhrightspan">
    <w:name w:val="skype_pnh_right_span"/>
    <w:basedOn w:val="Fuentedeprrafopredeter"/>
    <w:rsid w:val="00EE00B5"/>
  </w:style>
  <w:style w:type="paragraph" w:styleId="Textodeglobo">
    <w:name w:val="Balloon Text"/>
    <w:basedOn w:val="Normal"/>
    <w:link w:val="TextodegloboCar"/>
    <w:uiPriority w:val="99"/>
    <w:semiHidden/>
    <w:unhideWhenUsed/>
    <w:rsid w:val="00EE00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0B5"/>
    <w:rPr>
      <w:rFonts w:ascii="Tahoma" w:hAnsi="Tahoma" w:cs="Tahoma"/>
      <w:sz w:val="16"/>
      <w:szCs w:val="16"/>
    </w:rPr>
  </w:style>
  <w:style w:type="paragraph" w:styleId="Encabezado">
    <w:name w:val="header"/>
    <w:basedOn w:val="Normal"/>
    <w:link w:val="EncabezadoCar"/>
    <w:uiPriority w:val="99"/>
    <w:unhideWhenUsed/>
    <w:rsid w:val="00AA4C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4CB6"/>
  </w:style>
  <w:style w:type="paragraph" w:styleId="Piedepgina">
    <w:name w:val="footer"/>
    <w:basedOn w:val="Normal"/>
    <w:link w:val="PiedepginaCar"/>
    <w:uiPriority w:val="99"/>
    <w:unhideWhenUsed/>
    <w:rsid w:val="00AA4C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4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833217">
      <w:bodyDiv w:val="1"/>
      <w:marLeft w:val="0"/>
      <w:marRight w:val="0"/>
      <w:marTop w:val="0"/>
      <w:marBottom w:val="0"/>
      <w:divBdr>
        <w:top w:val="none" w:sz="0" w:space="0" w:color="auto"/>
        <w:left w:val="none" w:sz="0" w:space="0" w:color="auto"/>
        <w:bottom w:val="none" w:sz="0" w:space="0" w:color="auto"/>
        <w:right w:val="none" w:sz="0" w:space="0" w:color="auto"/>
      </w:divBdr>
      <w:divsChild>
        <w:div w:id="16122007">
          <w:marLeft w:val="0"/>
          <w:marRight w:val="0"/>
          <w:marTop w:val="0"/>
          <w:marBottom w:val="0"/>
          <w:divBdr>
            <w:top w:val="none" w:sz="0" w:space="0" w:color="auto"/>
            <w:left w:val="none" w:sz="0" w:space="0" w:color="auto"/>
            <w:bottom w:val="none" w:sz="0" w:space="0" w:color="auto"/>
            <w:right w:val="none" w:sz="0" w:space="0" w:color="auto"/>
          </w:divBdr>
        </w:div>
      </w:divsChild>
    </w:div>
    <w:div w:id="1690641961">
      <w:bodyDiv w:val="1"/>
      <w:marLeft w:val="0"/>
      <w:marRight w:val="0"/>
      <w:marTop w:val="0"/>
      <w:marBottom w:val="0"/>
      <w:divBdr>
        <w:top w:val="none" w:sz="0" w:space="0" w:color="auto"/>
        <w:left w:val="none" w:sz="0" w:space="0" w:color="auto"/>
        <w:bottom w:val="none" w:sz="0" w:space="0" w:color="auto"/>
        <w:right w:val="none" w:sz="0" w:space="0" w:color="auto"/>
      </w:divBdr>
      <w:divsChild>
        <w:div w:id="20519565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E41B3-A959-4A6D-893D-371AA7DAD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9277</Words>
  <Characters>51029</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Hernan</dc:creator>
  <cp:lastModifiedBy>Matias Carrasco</cp:lastModifiedBy>
  <cp:revision>2</cp:revision>
  <dcterms:created xsi:type="dcterms:W3CDTF">2012-05-03T21:16:00Z</dcterms:created>
  <dcterms:modified xsi:type="dcterms:W3CDTF">2012-05-03T21:16:00Z</dcterms:modified>
</cp:coreProperties>
</file>